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ДОГОВОР № _______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д. Большой Тростенец                                 </w:t>
      </w:r>
      <w:r w:rsidRPr="007F0DA5">
        <w:rPr>
          <w:rFonts w:ascii="Times New Roman" w:hAnsi="Times New Roman"/>
          <w:sz w:val="28"/>
          <w:szCs w:val="28"/>
          <w:lang w:val="ru-RU"/>
        </w:rPr>
        <w:tab/>
      </w:r>
      <w:r w:rsidRPr="007F0DA5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7F0DA5">
        <w:rPr>
          <w:rFonts w:ascii="Times New Roman" w:hAnsi="Times New Roman"/>
          <w:sz w:val="28"/>
          <w:szCs w:val="28"/>
          <w:lang w:val="ru-RU"/>
        </w:rPr>
        <w:t xml:space="preserve">   «</w:t>
      </w:r>
      <w:proofErr w:type="gramEnd"/>
      <w:r w:rsidRPr="007F0DA5">
        <w:rPr>
          <w:rFonts w:ascii="Times New Roman" w:hAnsi="Times New Roman"/>
          <w:sz w:val="28"/>
          <w:szCs w:val="28"/>
          <w:lang w:val="ru-RU"/>
        </w:rPr>
        <w:t xml:space="preserve"> _____ » __________ 20 ___ 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              Открытое акционерное общество «Газпром трансгаз Беларусь», именуемое в дальнейшем «Продавец», в лице ____________________________ филиала «Управление «Экогаз» Открытого акционерного общества «Газпром трансгаз Беларусь» ____________________________, действующего (ей) на основании доверенности ____________________________, с одной стороны, и ____________________________, именуемое (</w:t>
      </w:r>
      <w:proofErr w:type="spellStart"/>
      <w:r w:rsidRPr="007F0DA5">
        <w:rPr>
          <w:rFonts w:ascii="Times New Roman" w:hAnsi="Times New Roman"/>
          <w:sz w:val="28"/>
          <w:szCs w:val="28"/>
          <w:lang w:val="ru-RU"/>
        </w:rPr>
        <w:t>ый</w:t>
      </w:r>
      <w:proofErr w:type="spellEnd"/>
      <w:r w:rsidRPr="007F0DA5">
        <w:rPr>
          <w:rFonts w:ascii="Times New Roman" w:hAnsi="Times New Roman"/>
          <w:sz w:val="28"/>
          <w:szCs w:val="28"/>
          <w:lang w:val="ru-RU"/>
        </w:rPr>
        <w:t>) в дальнейшем «Покупатель», в лице ____________________________, действующего (ей) на основании ___________________________, с другой стороны, а вместе именуемые «Стороны», заключили настоящий договор о нижеследующем: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1. Предмет договора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1.1 Продавец обязуется передать в собственность, а Покупатель обязуется принять и оплатить компримированный (сжатый) природный газ (далее – КПГ) на условиях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1.2 Цель приобретения КПГ Покупателем – для собственного производства и (или) потребления.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2. Цена и порядок расчетов</w:t>
      </w:r>
    </w:p>
    <w:p w:rsidR="007F0DA5" w:rsidRPr="0004209D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2.1 Стоимость КПГ, отпускаемого Покупателю, определяется Прейскурантом цен, </w:t>
      </w:r>
      <w:r w:rsidRPr="0004209D">
        <w:rPr>
          <w:rFonts w:ascii="Times New Roman" w:hAnsi="Times New Roman"/>
          <w:color w:val="000000" w:themeColor="text1"/>
          <w:sz w:val="28"/>
          <w:szCs w:val="28"/>
          <w:lang w:val="ru-RU"/>
        </w:rPr>
        <w:t>утвержденным Продавцом и действующим на момент заправки.</w:t>
      </w:r>
    </w:p>
    <w:p w:rsidR="007F0DA5" w:rsidRPr="0004209D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420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 Заправка газобаллонного транспортного средства (далее – ГБТС) Покупателя осуществляется на всех публичных пунктах заправки Продавца: автомобильные газонаполнительные компрессорные станции (далее – АГНКС), </w:t>
      </w:r>
      <w:proofErr w:type="spellStart"/>
      <w:r w:rsidRPr="0004209D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бескомпрессорные</w:t>
      </w:r>
      <w:proofErr w:type="spellEnd"/>
      <w:r w:rsidRPr="000420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заправочные пункты (далее – БЗП).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20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2.3 Средством </w:t>
      </w:r>
      <w:r w:rsidRPr="007F0DA5">
        <w:rPr>
          <w:rFonts w:ascii="Times New Roman" w:hAnsi="Times New Roman"/>
          <w:sz w:val="28"/>
          <w:szCs w:val="28"/>
          <w:lang w:val="ru-RU"/>
        </w:rPr>
        <w:t>идентификации ГБТС Покупателя является электронная карта-идентификатор (далее – ЭКИ), в которой содержится информация для Продавца, необходимая для обслуживания Покупателя на условиях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2.4 Расчеты за КПГ могут производиться Покупателем: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2.4.1. путем перечисления предоплаты на расчетный счет Продавца в размере 100 % стоимости предполагаемого объема потребления КПГ. При этом, указанные денежные средства в качестве коммерческого займа согласно статье 770 Гражданского Кодекса Республики Беларусь, Сторонами не рассматриваются и проценты за пользование ими не начисляются. Датой оплаты считается дата поступления денежных средств на расчетный счет Продавца.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2.4.2. путем оплаты по факту заправки КПГ ГБТС Покупателя наличными денежными средствами или платежной картой.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2.5 При расчетах за КПГ в соответствии с п.2.4.1 договора обработка платежного поручения о перечислении Покупателем денежных средств за КПГ выполняется Продавцом в течение 2 (двух) рабочих дней.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2.6 Продавец осуществляет заправку ГБТС Покупателя КПГ в соответствии с условиями пунктов 2.4, 2.5 договора при обязательном предъявлении ЭКИ. </w:t>
      </w:r>
    </w:p>
    <w:p w:rsidR="007F0DA5" w:rsidRPr="007F0DA5" w:rsidRDefault="00716E81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 По окончанию</w:t>
      </w:r>
      <w:r w:rsidR="007F0DA5" w:rsidRPr="007F0DA5">
        <w:rPr>
          <w:rFonts w:ascii="Times New Roman" w:hAnsi="Times New Roman"/>
          <w:sz w:val="28"/>
          <w:szCs w:val="28"/>
          <w:lang w:val="ru-RU"/>
        </w:rPr>
        <w:t xml:space="preserve"> заправки Покупателю выдается фискальный чек установленного образца, ответственность за сохранность которого лежит на Покупателе.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2.8 </w:t>
      </w:r>
      <w:proofErr w:type="gramStart"/>
      <w:r w:rsidRPr="007F0D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F0DA5">
        <w:rPr>
          <w:rFonts w:ascii="Times New Roman" w:hAnsi="Times New Roman"/>
          <w:sz w:val="28"/>
          <w:szCs w:val="28"/>
          <w:lang w:val="ru-RU"/>
        </w:rPr>
        <w:t xml:space="preserve"> случае возникновения задолженности Покупателя за полученный КПГ, вызванной техническими сбоями обмена информации на АГНКС (далее – техническая задолженность), Покупатель обязан в течение 5 (пяти) рабочих дней со дня получения уведомления от Продавца погасить сумму задолженности в полном объеме.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2.9 </w:t>
      </w:r>
      <w:proofErr w:type="gramStart"/>
      <w:r w:rsidRPr="007F0D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F0DA5">
        <w:rPr>
          <w:rFonts w:ascii="Times New Roman" w:hAnsi="Times New Roman"/>
          <w:sz w:val="28"/>
          <w:szCs w:val="28"/>
          <w:lang w:val="ru-RU"/>
        </w:rPr>
        <w:t xml:space="preserve"> случае задержки погашения долга в установленный в п.2.8 настоящего договора срок Покупатель обязан уплатить неустойку в размере 0,1% от суммы долга за каждый день просрочки начиная с 6 (шестого) рабочего дня с момента получения уведомления от Продавца и до полного погашения долга, включая день его погашения. 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2.10 </w:t>
      </w:r>
      <w:proofErr w:type="gramStart"/>
      <w:r w:rsidRPr="007F0D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F0DA5">
        <w:rPr>
          <w:rFonts w:ascii="Times New Roman" w:hAnsi="Times New Roman"/>
          <w:sz w:val="28"/>
          <w:szCs w:val="28"/>
          <w:lang w:val="ru-RU"/>
        </w:rPr>
        <w:t xml:space="preserve"> период с 6 (шестого) рабочего дня с момента получения уведомления от Продавца и до полного погашения долга, включая день его погашения, Продавец приостанавливает осуществление заправки КПГ ГБТС Покупателя.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 Права и обязанности Сторон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 Покупатель обязуется:</w:t>
      </w:r>
    </w:p>
    <w:p w:rsidR="009975D5" w:rsidRPr="007F0DA5" w:rsidRDefault="009975D5" w:rsidP="009975D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3.1.1 обеспечивать подачу ГБТС для заправки в технически исправном состоянии, отвечающем требованиям действующих в Республике Беларусь нормативных правовых актов (далее – НПА)</w:t>
      </w:r>
      <w:r>
        <w:rPr>
          <w:rFonts w:ascii="Times New Roman" w:hAnsi="Times New Roman"/>
          <w:sz w:val="28"/>
          <w:szCs w:val="28"/>
          <w:lang w:val="ru-RU"/>
        </w:rPr>
        <w:t xml:space="preserve">, в том числе </w:t>
      </w:r>
      <w:r w:rsidRPr="007F0DA5">
        <w:rPr>
          <w:rFonts w:ascii="Times New Roman" w:hAnsi="Times New Roman"/>
          <w:sz w:val="28"/>
          <w:szCs w:val="28"/>
          <w:lang w:val="ru-RU"/>
        </w:rPr>
        <w:t>технических нормативных правовых актов (далее – ТНПА);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3.1.2 выполнять требования производителя ГБТС в период проведения им сервисных мероприятий (отзывных акций), касающихся безопасной эксплуатации газобаллонной части транспортного средства;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3.1.3 обеспечивать инструктирование водителей о требованиях ТНПА, НПА и особенностях эксплуатации ГБТС;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3.1.4 обеспечивать выполнение водителем ГБТС требований, установленных правилами и инструкциями по заправке транспортных средств, дорожных знаков, дорожной разметки и очередности заправки;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3.1.5 </w:t>
      </w:r>
      <w:r w:rsidR="00716E81">
        <w:rPr>
          <w:rFonts w:ascii="Times New Roman" w:hAnsi="Times New Roman"/>
          <w:sz w:val="28"/>
          <w:szCs w:val="28"/>
          <w:lang w:val="ru-RU"/>
        </w:rPr>
        <w:t>обеспечивать соблюдение водителем ГБТС общепризнанных норм поведения, а также выполнение правил, действующих на территории публичных пунктов заправок Продавца, в том числе требований о запрете курения и применения открытого огня на территории АГНКС, нахождение пассажиров ГБТС на территории АГНКС, кроме специально предусмотренных для этого площадок, а также нахождение во время заправки ГБТС водителя в кабине транспортного средства, возле топливораздаточных колонок и ближе 5 метров от заправочного островка</w:t>
      </w:r>
      <w:r w:rsidRPr="007F0DA5">
        <w:rPr>
          <w:rFonts w:ascii="Times New Roman" w:hAnsi="Times New Roman"/>
          <w:sz w:val="28"/>
          <w:szCs w:val="28"/>
          <w:lang w:val="ru-RU"/>
        </w:rPr>
        <w:t>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3.1.6 в течение 10 (десяти) дней уведомлять Продавца об изменениях подвижного состава и регистрационных номеров ГБТС и предоставлять, в связи с этим, ЭКИ для перекодировки;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3.1.7 оплачивать КПГ в соответствии с условиями, предусмотренными разделом 2 договора;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3.1.8. осуществлять заправку КПГ при обязательном предъявлении ЭКИ и свидетельство о регистрации транспортного средства;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3.1.9 каждое полугодие производить сверку расчетов с Продавцом;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3.1.10 контролировать самостоятельно расходы денежных средств на покупку КПГ, обеспечивать своевременное перечисление предоплаты в объемах, достаточных для покупки КПГ, в том числе для предотвращения возникновения технической задолженности.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 Продавец обязуется: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3.2.1 передавать в собственность Покупателя КПГ, отвечающий требованиям ГОСТ 27577-20</w:t>
      </w:r>
      <w:r w:rsidR="005335ED">
        <w:rPr>
          <w:rFonts w:ascii="Times New Roman" w:hAnsi="Times New Roman"/>
          <w:sz w:val="28"/>
          <w:szCs w:val="28"/>
          <w:lang w:val="ru-RU"/>
        </w:rPr>
        <w:t>22</w:t>
      </w:r>
      <w:r w:rsidRPr="007F0DA5">
        <w:rPr>
          <w:rFonts w:ascii="Times New Roman" w:hAnsi="Times New Roman"/>
          <w:sz w:val="28"/>
          <w:szCs w:val="28"/>
          <w:lang w:val="ru-RU"/>
        </w:rPr>
        <w:t xml:space="preserve"> «Газ природный топливный компримированный для двигателей внутреннего сгорания. Технические условия» на условиях, предусмотренных договором;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3.2.2 обеспечивать заправку ГБТС Покупателя КПГ при условии выполнения Покупателем всех требований норм и правил, относящихся к исправности оборудования газобаллонных автомобилей;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3.2.3 контролировать количество заправок автотранспорта Покупателя и объем отпущенного КПГ;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3.2.4 при необходимости делать запись в путевом листе о количестве отпущенного КПГ;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3.2.5 предоставлять чек покупки КПГ установленного образца;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3.2.6 в срок, не позднее 10 (десятого) числа месяца, следующего за месяцем отгрузки КПГ, предоставлять отчет по отпуску КПГ, ведомость отпуска КПГ (заправочную ведомость) с указанием регистрационных номеров ГБТС Покупателя, объема КПГ, времени и места произведенной заправки при условии осуществления заправки КПГ в соответствии с п.2.6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С учетом технологических особенностей функционирования АГНКС, месяцем отгрузки КПГ является период с 09:00 часов 1 (первого) числа месяца до 09:00 часов 1 (первого) числа месяца, следующего за месяцем отгрузки КПГ;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3.2.7 в соответствии со статьей 131 Налогового кодекса Республики Беларусь, Продавец не позднее 10 (десятого) числа месяца, следующего за месяцем отгрузки КПГ направляет (выставляет) на Портал (www.vat.gov.by</w:t>
      </w:r>
      <w:r w:rsidRPr="00C63129">
        <w:rPr>
          <w:rFonts w:ascii="Times New Roman" w:hAnsi="Times New Roman"/>
          <w:sz w:val="28"/>
          <w:szCs w:val="28"/>
          <w:lang w:val="ru-RU"/>
        </w:rPr>
        <w:t>) э</w:t>
      </w:r>
      <w:r w:rsidR="00C63129" w:rsidRPr="00C63129">
        <w:rPr>
          <w:rFonts w:ascii="Times New Roman" w:hAnsi="Times New Roman"/>
          <w:sz w:val="28"/>
          <w:szCs w:val="28"/>
          <w:lang w:val="ru-RU"/>
        </w:rPr>
        <w:t xml:space="preserve">лектронный </w:t>
      </w:r>
      <w:r w:rsidRPr="00C63129">
        <w:rPr>
          <w:rFonts w:ascii="Times New Roman" w:hAnsi="Times New Roman"/>
          <w:sz w:val="28"/>
          <w:szCs w:val="28"/>
          <w:lang w:val="ru-RU"/>
        </w:rPr>
        <w:t>счет</w:t>
      </w:r>
      <w:r w:rsidRPr="007F0DA5">
        <w:rPr>
          <w:rFonts w:ascii="Times New Roman" w:hAnsi="Times New Roman"/>
          <w:sz w:val="28"/>
          <w:szCs w:val="28"/>
          <w:lang w:val="ru-RU"/>
        </w:rPr>
        <w:t>-фактуру по НДС (далее – ЭСЧФ).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3.2.8. в случае приобретения КПГ в соответствии с п.2.4.2 договора Покупатель вправе заявить в произвольной форме требование о выставлении в его адрес ЭСЧФ, включающее все необходимые реквизиты для его выставления, с приложением копий фискальных чеков, выданных в соответствии с п.2.7 договора, если с даты выдачи этих фискальных чеков не истекло 30 календарных дней.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3.3 Продавец имеет право: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3.3.1 требовать у водителя ГБТС Покупателя предъявления документов, подтверждающих прохождение государственного технического осмотра и периодическое освидетельствование баллонов;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3.3.2 отказать в заправке ГБТС Покупателя при </w:t>
      </w:r>
      <w:proofErr w:type="spellStart"/>
      <w:r w:rsidRPr="007F0DA5">
        <w:rPr>
          <w:rFonts w:ascii="Times New Roman" w:hAnsi="Times New Roman"/>
          <w:sz w:val="28"/>
          <w:szCs w:val="28"/>
          <w:lang w:val="ru-RU"/>
        </w:rPr>
        <w:t>непредоставлении</w:t>
      </w:r>
      <w:proofErr w:type="spellEnd"/>
      <w:r w:rsidRPr="007F0DA5">
        <w:rPr>
          <w:rFonts w:ascii="Times New Roman" w:hAnsi="Times New Roman"/>
          <w:sz w:val="28"/>
          <w:szCs w:val="28"/>
          <w:lang w:val="ru-RU"/>
        </w:rPr>
        <w:t xml:space="preserve"> документов, указанных в подпункте 3.3.1 договора и (или) несоблюдении Покупателем требований подпунктов 3.1.1 - 3.1.7 договора. Кроме того, Продавец вправе в одностороннем порядке отказаться от исполнения договора в случае неисполнения Покупателем обязанностей, предусмотренных подпунктами 3.1.1 - 3.1.10 договора. В этом случае, договор считается расторгнутым с даты получения Покупателем письменного уведомления Продавца об отказе от исполнения договора или с иной даты, указанной в таком уведомлении;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3.3.3 устанавливать порядок заправки КПГ транспортных средств;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3.3.4 на технологические и санитарные перерывы.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 Ответственность Сторон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4.1 При нанесении Покупателем ущерба Продавцу путем повреждения</w:t>
      </w:r>
      <w:r w:rsidR="00716E81">
        <w:rPr>
          <w:rFonts w:ascii="Times New Roman" w:hAnsi="Times New Roman"/>
          <w:sz w:val="28"/>
          <w:szCs w:val="28"/>
          <w:lang w:val="ru-RU"/>
        </w:rPr>
        <w:t xml:space="preserve"> оборудования АГНКС, находящегося</w:t>
      </w:r>
      <w:r w:rsidRPr="007F0DA5">
        <w:rPr>
          <w:rFonts w:ascii="Times New Roman" w:hAnsi="Times New Roman"/>
          <w:sz w:val="28"/>
          <w:szCs w:val="28"/>
          <w:lang w:val="ru-RU"/>
        </w:rPr>
        <w:t xml:space="preserve"> в собственности Продавца, явившегося следствием нарушения Покупателем требований, указанных в пункте 3.1 договора, Покупатель </w:t>
      </w:r>
      <w:r w:rsidR="00716E81">
        <w:rPr>
          <w:rFonts w:ascii="Times New Roman" w:hAnsi="Times New Roman"/>
          <w:sz w:val="28"/>
          <w:szCs w:val="28"/>
          <w:lang w:val="ru-RU"/>
        </w:rPr>
        <w:t xml:space="preserve">принимает исчерпывающие меры по возмещению Продавцу причиненного ущерба поврежденного оборудования за свой счет. 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4.2 </w:t>
      </w:r>
      <w:proofErr w:type="gramStart"/>
      <w:r w:rsidR="00716E8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716E81">
        <w:rPr>
          <w:rFonts w:ascii="Times New Roman" w:hAnsi="Times New Roman"/>
          <w:sz w:val="28"/>
          <w:szCs w:val="28"/>
          <w:lang w:val="ru-RU"/>
        </w:rPr>
        <w:t xml:space="preserve"> случае невыполнения </w:t>
      </w:r>
      <w:r w:rsidR="0010457F">
        <w:rPr>
          <w:rFonts w:ascii="Times New Roman" w:hAnsi="Times New Roman"/>
          <w:sz w:val="28"/>
          <w:szCs w:val="28"/>
          <w:lang w:val="ru-RU"/>
        </w:rPr>
        <w:t xml:space="preserve">Покупателем </w:t>
      </w:r>
      <w:r w:rsidR="00716E81">
        <w:rPr>
          <w:rFonts w:ascii="Times New Roman" w:hAnsi="Times New Roman"/>
          <w:sz w:val="28"/>
          <w:szCs w:val="28"/>
          <w:lang w:val="ru-RU"/>
        </w:rPr>
        <w:t>условий, предусмотренных</w:t>
      </w:r>
      <w:r w:rsidR="0010457F">
        <w:rPr>
          <w:rFonts w:ascii="Times New Roman" w:hAnsi="Times New Roman"/>
          <w:sz w:val="28"/>
          <w:szCs w:val="28"/>
          <w:lang w:val="ru-RU"/>
        </w:rPr>
        <w:t xml:space="preserve"> в пункте</w:t>
      </w:r>
      <w:r w:rsidRPr="007F0DA5">
        <w:rPr>
          <w:rFonts w:ascii="Times New Roman" w:hAnsi="Times New Roman"/>
          <w:sz w:val="28"/>
          <w:szCs w:val="28"/>
          <w:lang w:val="ru-RU"/>
        </w:rPr>
        <w:t> 4.1 договора, Продавец приостанавливает осуществление заправки КПГ ГБТС Покупателя до выполнения им этого условия.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4.3 Продавец не несет ответственности за задержки при заправке КПГ ГБТС Покупателя, возникшие по техн</w:t>
      </w:r>
      <w:r w:rsidR="0010457F">
        <w:rPr>
          <w:rFonts w:ascii="Times New Roman" w:hAnsi="Times New Roman"/>
          <w:sz w:val="28"/>
          <w:szCs w:val="28"/>
          <w:lang w:val="ru-RU"/>
        </w:rPr>
        <w:t>ическим</w:t>
      </w:r>
      <w:r w:rsidRPr="007F0DA5">
        <w:rPr>
          <w:rFonts w:ascii="Times New Roman" w:hAnsi="Times New Roman"/>
          <w:sz w:val="28"/>
          <w:szCs w:val="28"/>
          <w:lang w:val="ru-RU"/>
        </w:rPr>
        <w:t xml:space="preserve"> причинам.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4.4 Продавец не несет ответственности за последствия произведенной заправки в случае неисправности газобаллонного оборудования транспортного средства Покупателя или нарушения Покупателем подпунктов 3.1.1 - 3.1.4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4.5 Ответственность за</w:t>
      </w:r>
      <w:r w:rsidR="0010457F">
        <w:rPr>
          <w:rFonts w:ascii="Times New Roman" w:hAnsi="Times New Roman"/>
          <w:sz w:val="28"/>
          <w:szCs w:val="28"/>
          <w:lang w:val="ru-RU"/>
        </w:rPr>
        <w:t xml:space="preserve"> эксплуатацию</w:t>
      </w:r>
      <w:r w:rsidRPr="007F0DA5">
        <w:rPr>
          <w:rFonts w:ascii="Times New Roman" w:hAnsi="Times New Roman"/>
          <w:sz w:val="28"/>
          <w:szCs w:val="28"/>
          <w:lang w:val="ru-RU"/>
        </w:rPr>
        <w:t xml:space="preserve"> ЭКИ несет Покупатель.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4.6 Передача Покупателем ЭКИ третьим лицам для заправки чужого ГБТС запрещена. В случае передачи ЭКИ третьим лицам будет произведена безвозвратная блокировка ГБТС.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4.7 Покупатель несет ответственность за ненадлежащее исполнение договорных обязательств</w:t>
      </w:r>
      <w:r w:rsidR="0010457F">
        <w:rPr>
          <w:rFonts w:ascii="Times New Roman" w:hAnsi="Times New Roman"/>
          <w:sz w:val="28"/>
          <w:szCs w:val="28"/>
          <w:lang w:val="ru-RU"/>
        </w:rPr>
        <w:t>,</w:t>
      </w:r>
      <w:r w:rsidRPr="007F0DA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 Республики Беларусь.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5. Форс-мажорные обстоятельства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5.1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землетрясения, наводнения, пожары и другие). К обстоятельствам, освобождающим сторону от ответственности, относятся также правительственные постановления или распоряжения государственных органов.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5.2 Сторона, ссылающаяся на такие обстоятельства, обязана в течение 2 (двух) дней в письменной форме информировать другую сторону о наступлении подобных обстоятельств. Причем по требованию другой стороны с наступлением подобных обстоятельств должен быть предъявлен удостоверяющий документ, выданный компетентным органом. 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5.3 Сторона, которая не может из-за обстоятельств непреодолимой силы выполнить обязательства по договору, должна с учетом условий договора приложить все усилия к тому, чтобы компенсировать затраты другой стороны по исполнению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5.4 После прекращения действия указанных обстоятельств, сторона обязана в течение 2 (двух)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причиненные убытки.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 xml:space="preserve">5.5 </w:t>
      </w:r>
      <w:proofErr w:type="gramStart"/>
      <w:r w:rsidRPr="007F0D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F0DA5">
        <w:rPr>
          <w:rFonts w:ascii="Times New Roman" w:hAnsi="Times New Roman"/>
          <w:sz w:val="28"/>
          <w:szCs w:val="28"/>
          <w:lang w:val="ru-RU"/>
        </w:rPr>
        <w:t xml:space="preserve">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5.6 Если обстоятельства непреодолимой силы продолжают действовать более 6 (шести) месяцев и нет возможности сделать обязательное заявление о дате их прекращения, то каждая сторона имеет право расторгнуть настоящий договор и возвратить все полученное ею по договору.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 Прочие условия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6.1 Изменение договора производится только при наличии согласия обеих Сторон, выраженного путем подписания уполномоченными представителями Сторон дополнительного соглашения к договору.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6.2 При изменении требований ТНПА и НПА новые требования действуют с момента вступления в силу соответствующего документа, независимо от даты подписания соответствующего дополнительного соглашения к договору с указанием новых требований.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6.3 Настоящий договор, а также все дополнительные соглашения к нему, переданные посредством факсимильной связи и/или электронной почты, имеют юридическую силу с последующей заменой на оригинал в течение 30 (тридцати) календарных дней с даты их подписания сторонами.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6.4 После подписания договора все предыдущие переговоры и переписка по нему считаются недействительными.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6.5 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6.6 Настоящий договор составлен и подписан в 2 (двух) экземплярах на русском языке, равной юридической силы, по одному для каждой из Сторон.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6.7 Все споры и разногласия, вытекающие их договора, Стороны обязуются разрешать путем переговоров с соблюдением претензионного порядка. Досудебное урегулирование споров обязательно, срок рассмотрения претензии не позднее 30 (тридцати) дней со дня её получения. При не достижении Сторонами соглашения, все споры разрешаются в суде в соответствии с действующим законодательством Республики Беларусь.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6.8 Договор вступает в силу с момента подписания его Сторонами и действует до 31.12.20</w:t>
      </w:r>
      <w:r w:rsidR="00EC05E9">
        <w:rPr>
          <w:rFonts w:ascii="Times New Roman" w:hAnsi="Times New Roman"/>
          <w:sz w:val="28"/>
          <w:szCs w:val="28"/>
          <w:lang w:val="ru-RU"/>
        </w:rPr>
        <w:t>___</w:t>
      </w:r>
      <w:r w:rsidRPr="007F0DA5">
        <w:rPr>
          <w:rFonts w:ascii="Times New Roman" w:hAnsi="Times New Roman"/>
          <w:sz w:val="28"/>
          <w:szCs w:val="28"/>
          <w:lang w:val="ru-RU"/>
        </w:rPr>
        <w:t>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Срок действия договора продлевается автоматически на каждый последующий год, если одна из Сторон не заявит об обратном не позднее 15 (пятнадцати) календарных дней до истечения срока действия договора.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7. Адреса и реквизиты Сторон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28" w:type="dxa"/>
        <w:tblLayout w:type="fixed"/>
        <w:tblLook w:val="01E0" w:firstRow="1" w:lastRow="1" w:firstColumn="1" w:lastColumn="1" w:noHBand="0" w:noVBand="0"/>
      </w:tblPr>
      <w:tblGrid>
        <w:gridCol w:w="5245"/>
        <w:gridCol w:w="4983"/>
      </w:tblGrid>
      <w:tr w:rsidR="007F0DA5" w:rsidRPr="007F0DA5" w:rsidTr="005335ED">
        <w:trPr>
          <w:trHeight w:val="475"/>
        </w:trPr>
        <w:tc>
          <w:tcPr>
            <w:tcW w:w="5245" w:type="dxa"/>
          </w:tcPr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Продавец</w:t>
            </w:r>
          </w:p>
        </w:tc>
        <w:tc>
          <w:tcPr>
            <w:tcW w:w="4983" w:type="dxa"/>
          </w:tcPr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Покупатель</w:t>
            </w:r>
          </w:p>
          <w:p w:rsidR="007F0DA5" w:rsidRPr="007F0DA5" w:rsidRDefault="007F0DA5" w:rsidP="007F0DA5">
            <w:pPr>
              <w:pStyle w:val="12"/>
              <w:tabs>
                <w:tab w:val="left" w:pos="567"/>
              </w:tabs>
              <w:spacing w:line="21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0DA5" w:rsidRPr="007F0DA5" w:rsidTr="005335ED">
        <w:trPr>
          <w:trHeight w:val="2903"/>
        </w:trPr>
        <w:tc>
          <w:tcPr>
            <w:tcW w:w="5245" w:type="dxa"/>
          </w:tcPr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Открытое акционерное общество «Газпром трансгаз Беларусь»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220040, г. Минск, ул. Некрасова, 9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УНП 100219778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ОКПО 001543875000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Филиал «Управление «Экогаз»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5335ED">
              <w:rPr>
                <w:rFonts w:ascii="Times New Roman" w:hAnsi="Times New Roman"/>
                <w:sz w:val="28"/>
                <w:szCs w:val="28"/>
                <w:lang w:val="ru-RU"/>
              </w:rPr>
              <w:t>0012</w:t>
            </w: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5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г.Минск, </w:t>
            </w:r>
            <w:proofErr w:type="spellStart"/>
            <w:r w:rsidR="005335ED">
              <w:rPr>
                <w:rFonts w:ascii="Times New Roman" w:hAnsi="Times New Roman"/>
                <w:sz w:val="28"/>
                <w:szCs w:val="28"/>
                <w:lang w:val="ru-RU"/>
              </w:rPr>
              <w:t>ул.Мержинского</w:t>
            </w:r>
            <w:proofErr w:type="spellEnd"/>
            <w:r w:rsidR="005335ED">
              <w:rPr>
                <w:rFonts w:ascii="Times New Roman" w:hAnsi="Times New Roman"/>
                <w:sz w:val="28"/>
                <w:szCs w:val="28"/>
                <w:lang w:val="ru-RU"/>
              </w:rPr>
              <w:t>, д.4-1н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р/с BY81OLMP30120005674470000933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в ОАО «</w:t>
            </w:r>
            <w:proofErr w:type="spellStart"/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Белгазпромбанк</w:t>
            </w:r>
            <w:proofErr w:type="spellEnd"/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BIC OLMPBY2X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220121, г. Минск, ул. </w:t>
            </w:r>
            <w:proofErr w:type="spellStart"/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Притыцкого</w:t>
            </w:r>
            <w:proofErr w:type="spellEnd"/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, 60/2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Тел. (8017) 280 76 76 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Факс (8017) </w:t>
            </w:r>
            <w:r w:rsidR="00C833B1" w:rsidRPr="00C833B1">
              <w:rPr>
                <w:rFonts w:ascii="Times New Roman" w:hAnsi="Times New Roman"/>
                <w:sz w:val="28"/>
                <w:szCs w:val="28"/>
                <w:lang w:val="ru-RU"/>
              </w:rPr>
              <w:t>219</w:t>
            </w:r>
            <w:r w:rsidR="00C833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33B1" w:rsidRPr="00C833B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833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33B1" w:rsidRPr="00C833B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7F0DA5" w:rsidRPr="007F0DA5" w:rsidRDefault="007F0DA5" w:rsidP="007F0DA5">
            <w:pPr>
              <w:pStyle w:val="12"/>
              <w:tabs>
                <w:tab w:val="left" w:pos="567"/>
              </w:tabs>
              <w:spacing w:line="21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DA5" w:rsidRPr="007F0DA5" w:rsidRDefault="007F0DA5" w:rsidP="007F0DA5">
            <w:pPr>
              <w:pStyle w:val="12"/>
              <w:tabs>
                <w:tab w:val="left" w:pos="567"/>
              </w:tabs>
              <w:spacing w:line="21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83" w:type="dxa"/>
          </w:tcPr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Для юридических лиц: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УНП 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ОКПО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Юридический адрес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Почтовый адрес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Банковские реквизиты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Адрес банка</w:t>
            </w:r>
          </w:p>
          <w:p w:rsidR="007F0DA5" w:rsidRPr="007F0DA5" w:rsidRDefault="007F0DA5" w:rsidP="007F0DA5">
            <w:pPr>
              <w:pStyle w:val="12"/>
              <w:tabs>
                <w:tab w:val="left" w:pos="567"/>
              </w:tabs>
              <w:spacing w:line="21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Для физических лиц: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Паспортные данные: номер, серия, когда и кем выдан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Идентификационный номер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Адрес регистрации</w:t>
            </w:r>
          </w:p>
          <w:p w:rsidR="007F0DA5" w:rsidRPr="007F0DA5" w:rsidRDefault="007F0DA5" w:rsidP="009941BF">
            <w:pPr>
              <w:pStyle w:val="12"/>
              <w:tabs>
                <w:tab w:val="left" w:pos="567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DA5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номер телефона, Электронный адрес</w:t>
            </w:r>
          </w:p>
        </w:tc>
      </w:tr>
    </w:tbl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__________________                                     __________________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0DA5">
        <w:rPr>
          <w:rFonts w:ascii="Times New Roman" w:hAnsi="Times New Roman"/>
          <w:sz w:val="28"/>
          <w:szCs w:val="28"/>
          <w:lang w:val="ru-RU"/>
        </w:rPr>
        <w:t>« _____ » __________ 20 ___</w:t>
      </w:r>
      <w:r w:rsidRPr="007F0DA5">
        <w:rPr>
          <w:rFonts w:ascii="Times New Roman" w:hAnsi="Times New Roman"/>
          <w:sz w:val="28"/>
          <w:szCs w:val="28"/>
          <w:lang w:val="ru-RU"/>
        </w:rPr>
        <w:tab/>
        <w:t xml:space="preserve">                      « _____ » __________ 20 ___</w:t>
      </w: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DA5" w:rsidRPr="007F0DA5" w:rsidRDefault="007F0DA5" w:rsidP="007F0DA5">
      <w:pPr>
        <w:pStyle w:val="12"/>
        <w:tabs>
          <w:tab w:val="left" w:pos="567"/>
        </w:tabs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F0DA5" w:rsidRPr="007F0DA5">
      <w:headerReference w:type="default" r:id="rId7"/>
      <w:pgSz w:w="11900" w:h="16840"/>
      <w:pgMar w:top="1185" w:right="510" w:bottom="1185" w:left="916" w:header="757" w:footer="7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3E" w:rsidRDefault="00805C3E">
      <w:r>
        <w:separator/>
      </w:r>
    </w:p>
  </w:endnote>
  <w:endnote w:type="continuationSeparator" w:id="0">
    <w:p w:rsidR="00805C3E" w:rsidRDefault="008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3E" w:rsidRDefault="00805C3E"/>
  </w:footnote>
  <w:footnote w:type="continuationSeparator" w:id="0">
    <w:p w:rsidR="00805C3E" w:rsidRDefault="00805C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87" w:rsidRDefault="002B07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6D8"/>
    <w:multiLevelType w:val="multilevel"/>
    <w:tmpl w:val="7718742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66FEC"/>
    <w:multiLevelType w:val="multilevel"/>
    <w:tmpl w:val="FCEA5BFA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B1562"/>
    <w:multiLevelType w:val="multilevel"/>
    <w:tmpl w:val="FED2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8117F"/>
    <w:multiLevelType w:val="multilevel"/>
    <w:tmpl w:val="8310A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85DF7"/>
    <w:multiLevelType w:val="multilevel"/>
    <w:tmpl w:val="23AC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556CC"/>
    <w:multiLevelType w:val="multilevel"/>
    <w:tmpl w:val="4F748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A1988"/>
    <w:multiLevelType w:val="multilevel"/>
    <w:tmpl w:val="5066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964DD"/>
    <w:multiLevelType w:val="multilevel"/>
    <w:tmpl w:val="82FEDE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84637"/>
    <w:multiLevelType w:val="multilevel"/>
    <w:tmpl w:val="C11A8F92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8943A0"/>
    <w:multiLevelType w:val="multilevel"/>
    <w:tmpl w:val="08B0A2E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DD6034"/>
    <w:multiLevelType w:val="multilevel"/>
    <w:tmpl w:val="ECE8FF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F5664B"/>
    <w:multiLevelType w:val="multilevel"/>
    <w:tmpl w:val="0A28FDF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106263"/>
    <w:multiLevelType w:val="multilevel"/>
    <w:tmpl w:val="559A515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BB0869"/>
    <w:multiLevelType w:val="multilevel"/>
    <w:tmpl w:val="8B6AFC1C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98"/>
    <w:rsid w:val="0004209D"/>
    <w:rsid w:val="00064126"/>
    <w:rsid w:val="00076BDB"/>
    <w:rsid w:val="0010457F"/>
    <w:rsid w:val="0010471D"/>
    <w:rsid w:val="00132CD8"/>
    <w:rsid w:val="001500B6"/>
    <w:rsid w:val="001953DF"/>
    <w:rsid w:val="001C1EF4"/>
    <w:rsid w:val="002A4C39"/>
    <w:rsid w:val="002B0787"/>
    <w:rsid w:val="002D0D64"/>
    <w:rsid w:val="0038610C"/>
    <w:rsid w:val="00405054"/>
    <w:rsid w:val="004745BD"/>
    <w:rsid w:val="004B6C67"/>
    <w:rsid w:val="00507657"/>
    <w:rsid w:val="00523DA1"/>
    <w:rsid w:val="005335ED"/>
    <w:rsid w:val="006641C1"/>
    <w:rsid w:val="006E1EDF"/>
    <w:rsid w:val="00716E81"/>
    <w:rsid w:val="00720835"/>
    <w:rsid w:val="00746853"/>
    <w:rsid w:val="007550D6"/>
    <w:rsid w:val="007D03B8"/>
    <w:rsid w:val="007F0DA5"/>
    <w:rsid w:val="00805C3E"/>
    <w:rsid w:val="009941BF"/>
    <w:rsid w:val="009975D5"/>
    <w:rsid w:val="00A25420"/>
    <w:rsid w:val="00A27398"/>
    <w:rsid w:val="00A37679"/>
    <w:rsid w:val="00C63129"/>
    <w:rsid w:val="00C65170"/>
    <w:rsid w:val="00C833B1"/>
    <w:rsid w:val="00CB06FE"/>
    <w:rsid w:val="00D5369C"/>
    <w:rsid w:val="00D713A1"/>
    <w:rsid w:val="00EC05E9"/>
    <w:rsid w:val="00F4531F"/>
    <w:rsid w:val="00F56D3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EB8A2-62AF-4ADE-9E15-0CC5DB58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0D6EB7"/>
      <w:w w:val="60"/>
      <w:sz w:val="40"/>
      <w:szCs w:val="4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0D6EB7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singl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color w:val="EBEBEB"/>
      <w:sz w:val="13"/>
      <w:szCs w:val="13"/>
    </w:rPr>
  </w:style>
  <w:style w:type="paragraph" w:customStyle="1" w:styleId="10">
    <w:name w:val="Заголовок №1"/>
    <w:basedOn w:val="a"/>
    <w:link w:val="1"/>
    <w:pPr>
      <w:spacing w:after="40"/>
      <w:outlineLvl w:val="0"/>
    </w:pPr>
    <w:rPr>
      <w:rFonts w:ascii="Calibri" w:eastAsia="Calibri" w:hAnsi="Calibri" w:cs="Calibri"/>
      <w:b/>
      <w:bCs/>
      <w:color w:val="0D6EB7"/>
      <w:w w:val="60"/>
      <w:sz w:val="40"/>
      <w:szCs w:val="40"/>
    </w:rPr>
  </w:style>
  <w:style w:type="paragraph" w:customStyle="1" w:styleId="60">
    <w:name w:val="Основной текст (6)"/>
    <w:basedOn w:val="a"/>
    <w:link w:val="6"/>
    <w:pPr>
      <w:spacing w:after="80"/>
      <w:jc w:val="center"/>
    </w:pPr>
    <w:rPr>
      <w:rFonts w:ascii="Arial" w:eastAsia="Arial" w:hAnsi="Arial" w:cs="Arial"/>
      <w:b/>
      <w:bCs/>
      <w:color w:val="0D6EB7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160" w:line="274" w:lineRule="auto"/>
      <w:jc w:val="center"/>
    </w:pPr>
    <w:rPr>
      <w:rFonts w:ascii="Arial" w:eastAsia="Arial" w:hAnsi="Arial" w:cs="Arial"/>
      <w:b/>
      <w:bCs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40" w:line="259" w:lineRule="auto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1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16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14"/>
      <w:szCs w:val="14"/>
      <w:u w:val="single"/>
    </w:rPr>
  </w:style>
  <w:style w:type="paragraph" w:customStyle="1" w:styleId="12">
    <w:name w:val="Обычный1"/>
    <w:rsid w:val="007F0DA5"/>
    <w:pPr>
      <w:widowControl/>
    </w:pPr>
    <w:rPr>
      <w:rFonts w:ascii="MS Sans Serif" w:eastAsia="Times New Roman" w:hAnsi="MS Sans Serif" w:cs="Times New Roman"/>
      <w:sz w:val="20"/>
      <w:szCs w:val="20"/>
      <w:lang w:val="en-US" w:bidi="ar-SA"/>
    </w:rPr>
  </w:style>
  <w:style w:type="paragraph" w:customStyle="1" w:styleId="210">
    <w:name w:val="Основной текст 21"/>
    <w:basedOn w:val="12"/>
    <w:rsid w:val="007F0DA5"/>
    <w:pPr>
      <w:jc w:val="center"/>
    </w:pPr>
    <w:rPr>
      <w:sz w:val="24"/>
    </w:rPr>
  </w:style>
  <w:style w:type="paragraph" w:customStyle="1" w:styleId="31">
    <w:name w:val="Основной текст с отступом 31"/>
    <w:basedOn w:val="12"/>
    <w:rsid w:val="007F0DA5"/>
    <w:pPr>
      <w:ind w:left="360"/>
      <w:jc w:val="both"/>
    </w:pPr>
    <w:rPr>
      <w:rFonts w:ascii="Arial" w:hAnsi="Arial"/>
      <w:lang w:val="ru-RU"/>
    </w:rPr>
  </w:style>
  <w:style w:type="paragraph" w:styleId="aa">
    <w:name w:val="Body Text"/>
    <w:basedOn w:val="a"/>
    <w:link w:val="ab"/>
    <w:rsid w:val="007F0DA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7F0DA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211">
    <w:name w:val="Основной текст с отступом 21"/>
    <w:basedOn w:val="12"/>
    <w:rsid w:val="007F0DA5"/>
    <w:pPr>
      <w:ind w:left="709" w:firstLine="11"/>
      <w:jc w:val="both"/>
    </w:pPr>
    <w:rPr>
      <w:rFonts w:ascii="Arial" w:hAnsi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 Юлия Николаевна</dc:creator>
  <cp:lastModifiedBy>Шемет Юлия Николаевна</cp:lastModifiedBy>
  <cp:revision>2</cp:revision>
  <dcterms:created xsi:type="dcterms:W3CDTF">2025-01-28T11:51:00Z</dcterms:created>
  <dcterms:modified xsi:type="dcterms:W3CDTF">2025-01-28T11:51:00Z</dcterms:modified>
</cp:coreProperties>
</file>